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26-345</w:t>
      </w:r>
    </w:p>
    <w:p>
      <w:pPr>
        <w:spacing w:before="0" w:after="0" w:line="480"/>
        <w:ind w:left="120"/>
        <w:jc w:val="left"/>
      </w:pPr>
    </w:p>
    <w:p>
      <w:pPr>
        <w:spacing w:before="0" w:after="0" w:line="480"/>
        <w:ind w:left="120"/>
        <w:jc w:val="center"/>
      </w:pPr>
      <w:r>
        <w:rPr>
          <w:rFonts w:ascii="Times New Roman" w:hAnsi="Times New Roman"/>
          <w:b/>
          <w:i w:val="false"/>
          <w:color w:val="000000"/>
          <w:sz w:val="28"/>
        </w:rPr>
        <w:t>EDUCATION DEPARTMENT[281]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281—Chapter 20</w:t>
      </w:r>
    </w:p>
    <w:p>
      <w:pPr>
        <w:spacing w:before="0" w:after="0" w:line="480"/>
        <w:ind w:left="120"/>
        <w:jc w:val="center"/>
      </w:pPr>
      <w:r>
        <w:rPr>
          <w:rFonts w:ascii="Times New Roman" w:hAnsi="Times New Roman"/>
          <w:b w:val="false"/>
          <w:i w:val="false"/>
          <w:color w:val="000000"/>
          <w:sz w:val="24"/>
        </w:rPr>
        <w:t>“Students First Act—Education Savings Accounts”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257.11B</w:t>
      </w:r>
    </w:p>
    <w:p>
      <w:pPr>
        <w:spacing w:before="0" w:after="0" w:line="480"/>
        <w:ind w:left="120"/>
        <w:jc w:val="both"/>
      </w:pPr>
      <w:r>
        <w:rPr>
          <w:rFonts w:ascii="Times New Roman" w:hAnsi="Times New Roman"/>
          <w:b w:val="false"/>
          <w:i w:val="false"/>
          <w:color w:val="000000"/>
          <w:sz w:val="24"/>
        </w:rPr>
        <w:t>State or federal law(s) implemented by the rulemaking: 2026 Iowa Acts, House File 2754</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17, 2026</w:t>
            </w:r>
            <w:r>
              <w:br/>
            </w:r>
            <w:r>
              <w:rPr>
                <w:rFonts w:ascii="Times New Roman" w:hAnsi="Times New Roman"/>
                <w:b w:val="false"/>
                <w:i w:val="false"/>
                <w:color w:val="000000"/>
                <w:sz w:val="14"/>
              </w:rPr>
              <w:t>8 to 9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Room B50</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 xml:space="preserve">Online at </w:t>
            </w:r>
            <w:hyperlink r:id="rId4">
              <w:r>
                <w:rPr>
                  <w:rStyle w:val="Hyperlink"/>
                  <w:rFonts w:ascii="Times New Roman" w:hAnsi="Times New Roman"/>
                  <w:b w:val="false"/>
                  <w:i w:val="false"/>
                  <w:color w:val="0000ff"/>
                  <w:sz w:val="14"/>
                </w:rPr>
                <w:t>meet.google.com/uzu-nfiq-jca</w:t>
              </w:r>
            </w:hyperlink>
            <w:r>
              <w:br/>
            </w:r>
            <w:r>
              <w:rPr>
                <w:rFonts w:ascii="Times New Roman" w:hAnsi="Times New Roman"/>
                <w:b w:val="false"/>
                <w:i w:val="false"/>
                <w:color w:val="000000"/>
                <w:sz w:val="14"/>
              </w:rPr>
              <w:t xml:space="preserve">Phone: 1.929.276.1400 </w:t>
            </w:r>
            <w:r>
              <w:br/>
            </w:r>
            <w:r>
              <w:rPr>
                <w:rFonts w:ascii="Times New Roman" w:hAnsi="Times New Roman"/>
                <w:b w:val="false"/>
                <w:i w:val="false"/>
                <w:color w:val="000000"/>
                <w:sz w:val="14"/>
              </w:rPr>
              <w:t>PIN: ‪992 943 978#</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Education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Thomas A. Mayes </w:t>
            </w:r>
            <w:r>
              <w:br/>
            </w:r>
            <w:r>
              <w:rPr>
                <w:rFonts w:ascii="Times New Roman" w:hAnsi="Times New Roman"/>
                <w:b w:val="false"/>
                <w:i w:val="false"/>
                <w:color w:val="000000"/>
                <w:sz w:val="14"/>
              </w:rPr>
              <w:t xml:space="preserve">Grimes State Office Building </w:t>
            </w:r>
            <w:r>
              <w:br/>
            </w:r>
            <w:r>
              <w:rPr>
                <w:rFonts w:ascii="Times New Roman" w:hAnsi="Times New Roman"/>
                <w:b w:val="false"/>
                <w:i w:val="false"/>
                <w:color w:val="000000"/>
                <w:sz w:val="14"/>
              </w:rPr>
              <w:t xml:space="preserve">400 East 14th Street </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515.281.8661 </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thomas.mayes@iowa.gov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updates rules in light of 2026 Iowa Acts, House File 2754, division VII. The rulemaking also removes obsolete rules and statutory references.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State will bear the costs of compliance. According to the Fiscal Note accompanying House File 2754, the cost is unknown.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Individuals who want to participate in the education savings account (ESA) program will benefit from an additional application window.</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quantitative impact is unknown.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impact is unknown.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administrative costs to the State, but the amount is undetermined.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an anticipated effect of undetermined size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Iowa Code section 257.11B requires the adoption of rules to implement the ESA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 alternatives were considered. Iowa Code section 257.11B requires the adoption of rules to implement the ESA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could be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Iowa Code section 257.11B requires the adoption of rules to implement the ESA program.</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known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val="false"/>
          <w:i w:val="false"/>
          <w:color w:val="000000"/>
          <w:sz w:val="24"/>
        </w:rPr>
        <w:t>281—20.1(257)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in lieu thereof:</w:t>
      </w:r>
    </w:p>
    <w:p>
      <w:pPr>
        <w:spacing w:before="0" w:after="0" w:line="480"/>
        <w:ind w:left="120"/>
        <w:jc w:val="both"/>
      </w:pPr>
      <w:r>
        <w:rPr>
          <w:rFonts w:ascii="Times New Roman" w:hAnsi="Times New Roman"/>
          <w:b/>
          <w:i w:val="false"/>
          <w:color w:val="000000"/>
          <w:sz w:val="24"/>
        </w:rPr>
        <w:t>281—20.1</w:t>
      </w:r>
      <w:r>
        <w:rPr>
          <w:rFonts w:ascii="Times New Roman" w:hAnsi="Times New Roman"/>
          <w:b/>
          <w:i w:val="false"/>
          <w:color w:val="000000"/>
          <w:sz w:val="24"/>
        </w:rPr>
        <w:t xml:space="preserve">(257)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color w:val="000000"/>
          <w:sz w:val="24"/>
          <w:u w:val="single"/>
        </w:rPr>
        <w:t> </w:t>
      </w:r>
      <w:r>
        <w:rPr>
          <w:rFonts w:ascii="Times New Roman" w:hAnsi="Times New Roman"/>
          <w:b w:val="false"/>
          <w:i w:val="false"/>
          <w:color w:val="000000"/>
          <w:sz w:val="24"/>
        </w:rPr>
        <w:t>means the department of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“Full-time”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enrollment at a nonpublic school with a minimum school calendar that meets the requirement of Iowa Code section </w:t>
      </w:r>
      <w:hyperlink r:id="rId6">
        <w:r>
          <w:rPr>
            <w:rStyle w:val="Hyperlink"/>
            <w:rFonts w:ascii="Times New Roman" w:hAnsi="Times New Roman"/>
            <w:b w:val="false"/>
            <w:i w:val="false"/>
            <w:color w:val="000000"/>
            <w:sz w:val="24"/>
          </w:rPr>
          <w:t>279.10</w:t>
        </w:r>
      </w:hyperlink>
      <w:r>
        <w:rPr>
          <w:rFonts w:ascii="Times New Roman" w:hAnsi="Times New Roman"/>
          <w:b w:val="false"/>
          <w:i w:val="false"/>
          <w:color w:val="000000"/>
          <w:sz w:val="24"/>
        </w:rPr>
        <w:t xml:space="preserve"> for at least 75 percent of the school’s definition of “full-time.”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“Nonpublic school”</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285.16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“Qualified educational expenses”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257.11B(1)</w:t>
        </w:r>
        <w:r>
          <w:rPr>
            <w:rFonts w:ascii="Times New Roman" w:hAnsi="Times New Roman"/>
            <w:b w:val="false"/>
            <w:i/>
            <w:color w:val="000000"/>
            <w:sz w:val="24"/>
          </w:rPr>
          <w:t>“b.”</w:t>
        </w:r>
      </w:hyperlink>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For purposes of this definition, an approvable provider of “educational therapies” is qualified by recognized training and education to provide those educational therapies. To prevent waste, fraud, and abuse, “educational therapies” does not include therapies provided by the student’s family. For purposes of this definition, “family” includes parents, step-parents, guardians, siblings, half siblings, step-siblings, grandparents, step-grandparents, aunts, uncles, or first cousins.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For purposes of this definition, approvable “online education programs” means online education programs provided by online education providers approved by the department under </w:t>
      </w:r>
      <w:hyperlink r:id="rId9">
        <w:r>
          <w:rPr>
            <w:rStyle w:val="Hyperlink"/>
            <w:rFonts w:ascii="Times New Roman" w:hAnsi="Times New Roman"/>
            <w:b w:val="false"/>
            <w:i w:val="false"/>
            <w:color w:val="000000"/>
            <w:sz w:val="24"/>
          </w:rPr>
          <w:t>281—Chapter 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For purposes of this definition, an approvable provider of “vocational and life skills education” is any entity approved by the department or any other unit of state government to provide the vocational and life skills education sought.</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 xml:space="preserve">For purposes of this definition, an approvable “accredited provider” is any individual or organization holding a credential issued by the Iowa board of educational examiners or any other credential issued by the state of Iowa to provide the service at issue. For purposes of this paragraph, paraprofessionals or assistants are sufficiently trained if they hold a credential issued under Iowa Code section </w:t>
      </w:r>
      <w:hyperlink r:id="rId10">
        <w:r>
          <w:rPr>
            <w:rStyle w:val="Hyperlink"/>
            <w:rFonts w:ascii="Times New Roman" w:hAnsi="Times New Roman"/>
            <w:b w:val="false"/>
            <w:i w:val="false"/>
            <w:color w:val="000000"/>
            <w:sz w:val="24"/>
          </w:rPr>
          <w:t>256.157</w:t>
        </w:r>
      </w:hyperlink>
      <w:r>
        <w:rPr>
          <w:rFonts w:ascii="Times New Roman" w:hAnsi="Times New Roman"/>
          <w:b w:val="false"/>
          <w:i w:val="false"/>
          <w:color w:val="000000"/>
          <w:sz w:val="24"/>
        </w:rPr>
        <w:t xml:space="preserve"> or if they have received training and education deemed sufficient by their supervising professional.</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 xml:space="preserve">For purposes of this definition, expenses listed in Iowa Code section </w:t>
      </w:r>
      <w:hyperlink r:id="rId11">
        <w:r>
          <w:rPr>
            <w:rStyle w:val="Hyperlink"/>
            <w:rFonts w:ascii="Times New Roman" w:hAnsi="Times New Roman"/>
            <w:b w:val="false"/>
            <w:i w:val="false"/>
            <w:color w:val="000000"/>
            <w:sz w:val="24"/>
          </w:rPr>
          <w:t>257.11B(1)</w:t>
        </w:r>
        <w:r>
          <w:rPr>
            <w:rFonts w:ascii="Times New Roman" w:hAnsi="Times New Roman"/>
            <w:b w:val="false"/>
            <w:i/>
            <w:color w:val="000000"/>
            <w:sz w:val="24"/>
          </w:rPr>
          <w:t>“b”</w:t>
        </w:r>
      </w:hyperlink>
      <w:r>
        <w:rPr>
          <w:rFonts w:ascii="Times New Roman" w:hAnsi="Times New Roman"/>
          <w:b w:val="false"/>
          <w:i w:val="false"/>
          <w:color w:val="000000"/>
          <w:sz w:val="24"/>
        </w:rPr>
        <w:t xml:space="preserve"> as “not included” in the definition of “qualified educational expenses” are not eligible for payment. </w:t>
      </w:r>
    </w:p>
    <w:p>
      <w:pPr>
        <w:spacing w:before="0" w:after="0" w:line="480"/>
        <w:ind w:left="120"/>
        <w:jc w:val="both"/>
      </w:pP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“Resident”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282.1(2)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“Student”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“pupil” as that term is used in Iowa Code section </w:t>
      </w:r>
      <w:hyperlink r:id="rId13">
        <w:r>
          <w:rPr>
            <w:rStyle w:val="Hyperlink"/>
            <w:rFonts w:ascii="Times New Roman" w:hAnsi="Times New Roman"/>
            <w:b w:val="false"/>
            <w:i w:val="false"/>
            <w:color w:val="000000"/>
            <w:sz w:val="24"/>
          </w:rPr>
          <w:t>257.11B</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val="false"/>
          <w:i w:val="false"/>
          <w:color w:val="000000"/>
          <w:sz w:val="24"/>
        </w:rPr>
        <w:t>281—20.2(257)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in lieu thereof:</w:t>
      </w:r>
    </w:p>
    <w:p>
      <w:pPr>
        <w:spacing w:before="210" w:after="0" w:line="480"/>
        <w:ind w:left="120"/>
        <w:jc w:val="both"/>
      </w:pPr>
      <w:r>
        <w:rPr>
          <w:rFonts w:ascii="Times New Roman" w:hAnsi="Times New Roman"/>
          <w:b/>
          <w:i w:val="false"/>
          <w:color w:val="000000"/>
          <w:sz w:val="24"/>
        </w:rPr>
        <w:t>281—20.2</w:t>
      </w:r>
      <w:r>
        <w:rPr>
          <w:rFonts w:ascii="Times New Roman" w:hAnsi="Times New Roman"/>
          <w:b/>
          <w:i w:val="false"/>
          <w:color w:val="000000"/>
          <w:sz w:val="24"/>
        </w:rPr>
        <w:t xml:space="preserve">(257) </w:t>
      </w:r>
      <w:r>
        <w:rPr>
          <w:rFonts w:ascii="Times New Roman" w:hAnsi="Times New Roman"/>
          <w:b/>
          <w:i w:val="false"/>
          <w:color w:val="000000"/>
          <w:sz w:val="24"/>
        </w:rPr>
        <w:t xml:space="preserve">Eligible students. </w:t>
      </w:r>
      <w:r>
        <w:rPr>
          <w:rFonts w:ascii="Times New Roman" w:hAnsi="Times New Roman"/>
          <w:b w:val="false"/>
          <w:i w:val="false"/>
          <w:color w:val="000000"/>
          <w:sz w:val="24"/>
        </w:rPr>
        <w:t xml:space="preserve">A student is eligible if the student meets the requirements in Iowa Code section </w:t>
      </w:r>
      <w:hyperlink r:id="rId14">
        <w:r>
          <w:rPr>
            <w:rStyle w:val="Hyperlink"/>
            <w:rFonts w:ascii="Times New Roman" w:hAnsi="Times New Roman"/>
            <w:b w:val="false"/>
            <w:i w:val="false"/>
            <w:color w:val="000000"/>
            <w:sz w:val="24"/>
          </w:rPr>
          <w:t>257.11B(2)</w:t>
        </w:r>
      </w:hyperlink>
      <w:r>
        <w:rPr>
          <w:rFonts w:ascii="Times New Roman" w:hAnsi="Times New Roman"/>
          <w:b w:val="false"/>
          <w:i/>
          <w:color w:val="000000"/>
          <w:sz w:val="24"/>
        </w:rPr>
        <w:t>“a”</w:t>
      </w:r>
      <w:r>
        <w:rPr>
          <w:rFonts w:ascii="Times New Roman" w:hAnsi="Times New Roman"/>
          <w:b w:val="false"/>
          <w:i w:val="false"/>
          <w:color w:val="000000"/>
          <w:sz w:val="24"/>
        </w:rPr>
        <w:t>(3).</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281—20.3(257)</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281—20.3</w:t>
      </w:r>
      <w:r>
        <w:rPr>
          <w:rFonts w:ascii="Times New Roman" w:hAnsi="Times New Roman"/>
          <w:b/>
          <w:i w:val="false"/>
          <w:color w:val="000000"/>
          <w:sz w:val="24"/>
        </w:rPr>
        <w:t xml:space="preserve">(257) </w:t>
      </w:r>
      <w:r>
        <w:rPr>
          <w:rFonts w:ascii="Times New Roman" w:hAnsi="Times New Roman"/>
          <w:b/>
          <w:i w:val="false"/>
          <w:color w:val="000000"/>
          <w:sz w:val="24"/>
        </w:rPr>
        <w:t xml:space="preserve">Application process. </w:t>
      </w:r>
      <w:r>
        <w:rPr>
          <w:rFonts w:ascii="Times New Roman" w:hAnsi="Times New Roman"/>
          <w:b w:val="false"/>
          <w:i w:val="false"/>
          <w:color w:val="000000"/>
          <w:sz w:val="24"/>
        </w:rPr>
        <w:t xml:space="preserve">The parent or guardian of an eligible student may request an ESA payment during the time </w:t>
      </w:r>
      <w:r>
        <w:rPr>
          <w:rFonts w:ascii="Times New Roman" w:hAnsi="Times New Roman"/>
          <w:b w:val="false"/>
          <w:i w:val="false"/>
          <w:strike/>
          <w:color w:val="000000"/>
          <w:sz w:val="24"/>
        </w:rPr>
        <w:t>period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periods</w:t>
      </w:r>
      <w:r>
        <w:rPr>
          <w:rFonts w:ascii="Times New Roman" w:hAnsi="Times New Roman"/>
          <w:b w:val="false"/>
          <w:i w:val="false"/>
          <w:color w:val="000000"/>
          <w:sz w:val="24"/>
        </w:rPr>
        <w:t xml:space="preserve"> specified by Iowa Code section </w:t>
      </w:r>
      <w:hyperlink r:id="rId15">
        <w:r>
          <w:rPr>
            <w:rStyle w:val="Hyperlink"/>
            <w:rFonts w:ascii="Times New Roman" w:hAnsi="Times New Roman"/>
            <w:b w:val="false"/>
            <w:i w:val="false"/>
            <w:color w:val="000000"/>
            <w:sz w:val="24"/>
          </w:rPr>
          <w:t>257.11B(3)</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2023 Iowa Acts, House File 68</w:t>
      </w:r>
      <w:r>
        <w:rPr>
          <w:rFonts w:ascii="Times New Roman" w:hAnsi="Times New Roman"/>
          <w:b w:val="false"/>
          <w:i w:val="false"/>
          <w:strike/>
          <w:color w:val="000000"/>
          <w:sz w:val="24"/>
        </w:rPr>
        <w:t>, section 7,</w:t>
      </w:r>
      <w:r>
        <w:rPr>
          <w:rFonts w:ascii="Times New Roman" w:hAnsi="Times New Roman"/>
          <w:b w:val="false"/>
          <w:i w:val="false"/>
          <w:color w:val="000000"/>
          <w:sz w:val="24"/>
        </w:rPr>
        <w:t xml:space="preserve"> by applying to the department, in a manner prescribed by the department. Within the time frame provided by Iowa Code section </w:t>
      </w:r>
      <w:hyperlink r:id="rId16">
        <w:r>
          <w:rPr>
            <w:rStyle w:val="Hyperlink"/>
            <w:rFonts w:ascii="Times New Roman" w:hAnsi="Times New Roman"/>
            <w:b w:val="false"/>
            <w:i w:val="false"/>
            <w:color w:val="000000"/>
            <w:sz w:val="24"/>
          </w:rPr>
          <w:t>257.11B(5)</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2023 Iowa Acts, House File 68</w:t>
      </w:r>
      <w:r>
        <w:rPr>
          <w:rFonts w:ascii="Times New Roman" w:hAnsi="Times New Roman"/>
          <w:b w:val="false"/>
          <w:i w:val="false"/>
          <w:strike/>
          <w:color w:val="000000"/>
          <w:sz w:val="24"/>
        </w:rPr>
        <w:t>, section 7,</w:t>
      </w:r>
      <w:r>
        <w:rPr>
          <w:rFonts w:ascii="Times New Roman" w:hAnsi="Times New Roman"/>
          <w:b w:val="false"/>
          <w:i w:val="false"/>
          <w:color w:val="000000"/>
          <w:sz w:val="24"/>
        </w:rPr>
        <w:t xml:space="preserve"> the department will provide a response to the application.</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20.4(3)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20.4(3)</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department’s actions under Iowa Code section </w:t>
      </w:r>
      <w:hyperlink r:id="rId17">
        <w:r>
          <w:rPr>
            <w:rStyle w:val="Hyperlink"/>
            <w:rFonts w:ascii="Times New Roman" w:hAnsi="Times New Roman"/>
            <w:b w:val="false"/>
            <w:i w:val="false"/>
            <w:color w:val="000000"/>
            <w:sz w:val="24"/>
          </w:rPr>
          <w:t>257.11B(5)</w:t>
        </w:r>
      </w:hyperlink>
      <w:r>
        <w:rPr>
          <w:rFonts w:ascii="Times New Roman" w:hAnsi="Times New Roman"/>
          <w:b w:val="false"/>
          <w:i/>
          <w:color w:val="000000"/>
          <w:sz w:val="24"/>
        </w:rPr>
        <w:t>“e”</w:t>
      </w:r>
      <w:r>
        <w:rPr>
          <w:rFonts w:ascii="Times New Roman" w:hAnsi="Times New Roman"/>
          <w:b w:val="false"/>
          <w:i w:val="false"/>
          <w:color w:val="000000"/>
          <w:sz w:val="24"/>
        </w:rPr>
        <w:t xml:space="preserve"> and </w:t>
      </w:r>
      <w:r>
        <w:rPr>
          <w:rFonts w:ascii="Times New Roman" w:hAnsi="Times New Roman"/>
          <w:b w:val="false"/>
          <w:i/>
          <w:color w:val="000000"/>
          <w:sz w:val="24"/>
        </w:rPr>
        <w:t>“f”</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as enacted by </w:t>
      </w:r>
      <w:r>
        <w:rPr>
          <w:rFonts w:ascii="Times New Roman" w:hAnsi="Times New Roman"/>
          <w:b w:val="false"/>
          <w:i w:val="false"/>
          <w:strike/>
          <w:color w:val="000000"/>
          <w:sz w:val="24"/>
        </w:rPr>
        <w:t>2023 Iowa Acts, House File 68</w:t>
      </w:r>
      <w:r>
        <w:rPr>
          <w:rFonts w:ascii="Times New Roman" w:hAnsi="Times New Roman"/>
          <w:b w:val="false"/>
          <w:i w:val="false"/>
          <w:strike/>
          <w:color w:val="000000"/>
          <w:sz w:val="24"/>
        </w:rPr>
        <w:t>, section 7,</w:t>
      </w:r>
      <w:r>
        <w:rPr>
          <w:rFonts w:ascii="Times New Roman" w:hAnsi="Times New Roman"/>
          <w:b w:val="false"/>
          <w:i w:val="false"/>
          <w:color w:val="000000"/>
          <w:sz w:val="24"/>
        </w:rPr>
        <w:t xml:space="preserve"> may be any action consistent with the department’s authority under Iowa Code section</w:t>
      </w:r>
      <w:hyperlink r:id="rId18">
        <w:r>
          <w:rPr>
            <w:rStyle w:val="Hyperlink"/>
            <w:rFonts w:ascii="Times New Roman" w:hAnsi="Times New Roman"/>
            <w:b w:val="false"/>
            <w:i w:val="false"/>
            <w:color w:val="000000"/>
            <w:sz w:val="24"/>
          </w:rPr>
          <w:t> 256.1</w:t>
        </w:r>
      </w:hyperlink>
      <w:r>
        <w:rPr>
          <w:rFonts w:ascii="Times New Roman" w:hAnsi="Times New Roman"/>
          <w:b w:val="false"/>
          <w:i w:val="false"/>
          <w:color w:val="000000"/>
          <w:sz w:val="24"/>
        </w:rPr>
        <w:t>.</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uzu-nfiq-jca" Type="http://schemas.openxmlformats.org/officeDocument/2006/relationships/hyperlink" Id="rId4"/>
    <Relationship TargetMode="External" Target="mailto:thomas.mayes@iowa.gov" Type="http://schemas.openxmlformats.org/officeDocument/2006/relationships/hyperlink" Id="rId5"/>
    <Relationship TargetMode="External" Target="https://www.legis.iowa.gov/docs/ico/chapter/279.10.pdf" Type="http://schemas.openxmlformats.org/officeDocument/2006/relationships/hyperlink" Id="rId6"/>
    <Relationship TargetMode="External" Target="https://www.legis.iowa.gov/docs/ico/chapter/285.16.pdf" Type="http://schemas.openxmlformats.org/officeDocument/2006/relationships/hyperlink" Id="rId7"/>
    <Relationship TargetMode="External" Target="https://www.legis.iowa.gov/docs/ico/chapter/257.11B.pdf" Type="http://schemas.openxmlformats.org/officeDocument/2006/relationships/hyperlink" Id="rId8"/>
    <Relationship TargetMode="External" Target="https://www.legis.iowa.gov/docs/iac/chapter/281.15.pdf" Type="http://schemas.openxmlformats.org/officeDocument/2006/relationships/hyperlink" Id="rId9"/>
    <Relationship TargetMode="External" Target="https://www.legis.iowa.gov/docs/ico/chapter/256.157.pdf" Type="http://schemas.openxmlformats.org/officeDocument/2006/relationships/hyperlink" Id="rId10"/>
    <Relationship TargetMode="External" Target="https://www.legis.iowa.gov/docs/ico/chapter/257.11B.pdf" Type="http://schemas.openxmlformats.org/officeDocument/2006/relationships/hyperlink" Id="rId11"/>
    <Relationship TargetMode="External" Target="https://www.legis.iowa.gov/docs/ico/chapter/282.1.pdf" Type="http://schemas.openxmlformats.org/officeDocument/2006/relationships/hyperlink" Id="rId12"/>
    <Relationship TargetMode="External" Target="https://www.legis.iowa.gov/docs/ico/chapter/257.11B.pdf" Type="http://schemas.openxmlformats.org/officeDocument/2006/relationships/hyperlink" Id="rId13"/>
    <Relationship TargetMode="External" Target="https://www.legis.iowa.gov/docs/ico/chapter/257.11B.pdf" Type="http://schemas.openxmlformats.org/officeDocument/2006/relationships/hyperlink" Id="rId14"/>
    <Relationship TargetMode="External" Target="https://www.legis.iowa.gov/docs/ico/chapter/257.11B.pdf" Type="http://schemas.openxmlformats.org/officeDocument/2006/relationships/hyperlink" Id="rId15"/>
    <Relationship TargetMode="External" Target="https://www.legis.iowa.gov/docs/ico/chapter/257.11B.pdf" Type="http://schemas.openxmlformats.org/officeDocument/2006/relationships/hyperlink" Id="rId16"/>
    <Relationship TargetMode="External" Target="https://www.legis.iowa.gov/docs/ico/chapter/257.11B.pdf" Type="http://schemas.openxmlformats.org/officeDocument/2006/relationships/hyperlink" Id="rId17"/>
    <Relationship TargetMode="External" Target="https://www.legis.iowa.gov/docs/ico/chapter/256.1.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